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85BD7" w14:textId="3AB96B8C" w:rsidR="00B32761" w:rsidRDefault="004D66B5" w:rsidP="004D66B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ISTRUZIONI PER PRESENTARE ISTANZA DI CONVERSIONE DEL PIGNORAMENTO</w:t>
      </w:r>
    </w:p>
    <w:p w14:paraId="03DF7684" w14:textId="66E93F5C" w:rsidR="004D66B5" w:rsidRDefault="004D66B5" w:rsidP="004D66B5">
      <w:pPr>
        <w:jc w:val="both"/>
        <w:rPr>
          <w:b/>
          <w:bCs/>
          <w:sz w:val="28"/>
          <w:szCs w:val="28"/>
          <w:u w:val="single"/>
        </w:rPr>
      </w:pPr>
    </w:p>
    <w:p w14:paraId="755CD569" w14:textId="490D92F3" w:rsidR="004D66B5" w:rsidRDefault="004D66B5" w:rsidP="004D66B5">
      <w:pPr>
        <w:jc w:val="both"/>
        <w:rPr>
          <w:b/>
          <w:bCs/>
          <w:sz w:val="24"/>
          <w:szCs w:val="24"/>
          <w:u w:val="single"/>
        </w:rPr>
      </w:pPr>
      <w:r w:rsidRPr="004D66B5">
        <w:rPr>
          <w:b/>
          <w:bCs/>
          <w:sz w:val="24"/>
          <w:szCs w:val="24"/>
          <w:u w:val="single"/>
        </w:rPr>
        <w:t>COS’E’ LA CONVERSIONE DEL PIGNORAMENTO:</w:t>
      </w:r>
    </w:p>
    <w:p w14:paraId="4802A5A6" w14:textId="45BA2E5A" w:rsidR="00D14DDB" w:rsidRDefault="00F64DF7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La conversione del pignoramento è la possibilità che il debitore esecutato possa domandare al Tribunale di poter sostituire le cose pignorate con una somma di denaro</w:t>
      </w:r>
      <w:r w:rsidR="00F95979">
        <w:rPr>
          <w:sz w:val="24"/>
          <w:szCs w:val="24"/>
        </w:rPr>
        <w:t xml:space="preserve"> </w:t>
      </w:r>
      <w:r w:rsidR="00D14DDB">
        <w:rPr>
          <w:sz w:val="24"/>
          <w:szCs w:val="24"/>
        </w:rPr>
        <w:t>pari</w:t>
      </w:r>
      <w:r w:rsidR="00F95979">
        <w:rPr>
          <w:sz w:val="24"/>
          <w:szCs w:val="24"/>
        </w:rPr>
        <w:t>, oltre alle spese di esecuzione,</w:t>
      </w:r>
      <w:r w:rsidR="00D14DDB">
        <w:rPr>
          <w:sz w:val="24"/>
          <w:szCs w:val="24"/>
        </w:rPr>
        <w:t xml:space="preserve"> all’importo dovuto al creditore pignorante ed ai creditori intervenuti comprensivo</w:t>
      </w:r>
      <w:r w:rsidR="00F95979">
        <w:rPr>
          <w:sz w:val="24"/>
          <w:szCs w:val="24"/>
        </w:rPr>
        <w:t xml:space="preserve"> </w:t>
      </w:r>
      <w:r w:rsidR="00D14DDB">
        <w:rPr>
          <w:sz w:val="24"/>
          <w:szCs w:val="24"/>
        </w:rPr>
        <w:t>del capitale, degli interessi e delle spese.</w:t>
      </w:r>
    </w:p>
    <w:p w14:paraId="277048E1" w14:textId="214CCE3C" w:rsidR="00F64DF7" w:rsidRDefault="00F64DF7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In pratica, il debitore può evitare la vendi</w:t>
      </w:r>
      <w:bookmarkStart w:id="0" w:name="_GoBack"/>
      <w:bookmarkEnd w:id="0"/>
      <w:r>
        <w:rPr>
          <w:sz w:val="24"/>
          <w:szCs w:val="24"/>
        </w:rPr>
        <w:t>ta del bene pignorato pagando quanto da lui dovuto a</w:t>
      </w:r>
      <w:r w:rsidR="00D14DDB">
        <w:rPr>
          <w:sz w:val="24"/>
          <w:szCs w:val="24"/>
        </w:rPr>
        <w:t>l creditore procedente e agli eventuali creditori intervenuti.</w:t>
      </w:r>
    </w:p>
    <w:p w14:paraId="409394E8" w14:textId="77777777" w:rsidR="00F64DF7" w:rsidRDefault="00F64DF7" w:rsidP="004D66B5">
      <w:pPr>
        <w:jc w:val="both"/>
        <w:rPr>
          <w:sz w:val="24"/>
          <w:szCs w:val="24"/>
        </w:rPr>
      </w:pPr>
    </w:p>
    <w:p w14:paraId="18AE7016" w14:textId="78C44E43" w:rsidR="00F64DF7" w:rsidRDefault="00F64DF7" w:rsidP="004D66B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QUANDO SI RICHIEDE LA CONVERSIONE DEL PIGNORAMENTO:</w:t>
      </w:r>
    </w:p>
    <w:p w14:paraId="1DFB5335" w14:textId="0DCF68A1" w:rsidR="00F64DF7" w:rsidRDefault="00F64DF7" w:rsidP="004D66B5">
      <w:pPr>
        <w:jc w:val="both"/>
        <w:rPr>
          <w:sz w:val="24"/>
          <w:szCs w:val="24"/>
        </w:rPr>
      </w:pPr>
      <w:r w:rsidRPr="00F64DF7">
        <w:rPr>
          <w:sz w:val="24"/>
          <w:szCs w:val="24"/>
        </w:rPr>
        <w:t xml:space="preserve">Il debitore che vuole chiedere la conversione deve </w:t>
      </w:r>
      <w:r>
        <w:rPr>
          <w:sz w:val="24"/>
          <w:szCs w:val="24"/>
        </w:rPr>
        <w:t>farlo prima della prima udienza che dispone la vendita o l’assegnazione</w:t>
      </w:r>
      <w:r w:rsidR="0090258A">
        <w:rPr>
          <w:sz w:val="24"/>
          <w:szCs w:val="24"/>
        </w:rPr>
        <w:t xml:space="preserve"> del bene pignorato.</w:t>
      </w:r>
    </w:p>
    <w:p w14:paraId="63114977" w14:textId="77777777" w:rsidR="0047081D" w:rsidRDefault="0047081D" w:rsidP="004D66B5">
      <w:pPr>
        <w:jc w:val="both"/>
        <w:rPr>
          <w:b/>
          <w:bCs/>
          <w:sz w:val="24"/>
          <w:szCs w:val="24"/>
          <w:u w:val="single"/>
        </w:rPr>
      </w:pPr>
    </w:p>
    <w:p w14:paraId="08B843AC" w14:textId="023269CB" w:rsidR="00D041C0" w:rsidRDefault="00D041C0" w:rsidP="004D66B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COME SI RICHIEDE LA CONVERSIONE DEL PIGNORAMENTO:</w:t>
      </w:r>
    </w:p>
    <w:p w14:paraId="149D6E96" w14:textId="48E5B640" w:rsidR="00FA2C3D" w:rsidRDefault="00D041C0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La conversione del pignoramento va richiesta mediante istanza</w:t>
      </w:r>
      <w:r w:rsidR="00256606">
        <w:rPr>
          <w:sz w:val="24"/>
          <w:szCs w:val="24"/>
        </w:rPr>
        <w:t xml:space="preserve"> (utilizzando il modulo allegato alle presenti istruzioni) </w:t>
      </w:r>
      <w:r>
        <w:rPr>
          <w:sz w:val="24"/>
          <w:szCs w:val="24"/>
        </w:rPr>
        <w:t xml:space="preserve">da depositarsi </w:t>
      </w:r>
      <w:r w:rsidR="00E91CC3">
        <w:rPr>
          <w:sz w:val="24"/>
          <w:szCs w:val="24"/>
        </w:rPr>
        <w:t xml:space="preserve">nella </w:t>
      </w:r>
      <w:r>
        <w:rPr>
          <w:sz w:val="24"/>
          <w:szCs w:val="24"/>
        </w:rPr>
        <w:t>cancelleria</w:t>
      </w:r>
      <w:r w:rsidR="00E91CC3">
        <w:rPr>
          <w:sz w:val="24"/>
          <w:szCs w:val="24"/>
        </w:rPr>
        <w:t xml:space="preserve"> del Tribunale </w:t>
      </w:r>
      <w:r w:rsidR="000C1764">
        <w:rPr>
          <w:sz w:val="24"/>
          <w:szCs w:val="24"/>
        </w:rPr>
        <w:t>del luogo in cui è stato eseguito il pignoramento</w:t>
      </w:r>
      <w:r>
        <w:rPr>
          <w:sz w:val="24"/>
          <w:szCs w:val="24"/>
        </w:rPr>
        <w:t xml:space="preserve">, anche </w:t>
      </w:r>
      <w:r w:rsidRPr="00D041C0">
        <w:rPr>
          <w:b/>
          <w:bCs/>
          <w:sz w:val="24"/>
          <w:szCs w:val="24"/>
        </w:rPr>
        <w:t xml:space="preserve">senza assistenza di </w:t>
      </w:r>
      <w:r>
        <w:rPr>
          <w:b/>
          <w:bCs/>
          <w:sz w:val="24"/>
          <w:szCs w:val="24"/>
        </w:rPr>
        <w:t xml:space="preserve">un </w:t>
      </w:r>
      <w:r w:rsidRPr="00D041C0">
        <w:rPr>
          <w:b/>
          <w:bCs/>
          <w:sz w:val="24"/>
          <w:szCs w:val="24"/>
        </w:rPr>
        <w:t>legale</w:t>
      </w:r>
      <w:r w:rsidR="009F0211">
        <w:rPr>
          <w:sz w:val="24"/>
          <w:szCs w:val="24"/>
        </w:rPr>
        <w:t>.</w:t>
      </w:r>
    </w:p>
    <w:p w14:paraId="7A91720A" w14:textId="21EBFB04" w:rsidR="00F64DF7" w:rsidRDefault="00FA2C3D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Unitamente all’istanza dovrà depositarsi </w:t>
      </w:r>
      <w:r w:rsidR="00BB1338">
        <w:rPr>
          <w:sz w:val="24"/>
          <w:szCs w:val="24"/>
        </w:rPr>
        <w:t>a pena di inammissibilit</w:t>
      </w:r>
      <w:r w:rsidR="00B27B9E">
        <w:rPr>
          <w:sz w:val="24"/>
          <w:szCs w:val="24"/>
        </w:rPr>
        <w:t xml:space="preserve">à </w:t>
      </w:r>
      <w:r>
        <w:rPr>
          <w:sz w:val="24"/>
          <w:szCs w:val="24"/>
        </w:rPr>
        <w:t>un assegno circolare</w:t>
      </w:r>
      <w:r w:rsidR="009F0211">
        <w:rPr>
          <w:sz w:val="24"/>
          <w:szCs w:val="24"/>
        </w:rPr>
        <w:t>,</w:t>
      </w:r>
      <w:r>
        <w:rPr>
          <w:sz w:val="24"/>
          <w:szCs w:val="24"/>
        </w:rPr>
        <w:t xml:space="preserve"> intestato al </w:t>
      </w:r>
      <w:r w:rsidR="00B27B9E">
        <w:rPr>
          <w:sz w:val="24"/>
          <w:szCs w:val="24"/>
        </w:rPr>
        <w:t>“</w:t>
      </w:r>
      <w:r w:rsidR="006A11F8">
        <w:rPr>
          <w:sz w:val="24"/>
          <w:szCs w:val="24"/>
        </w:rPr>
        <w:t>RGE …/…</w:t>
      </w:r>
      <w:r w:rsidR="00256606">
        <w:rPr>
          <w:sz w:val="24"/>
          <w:szCs w:val="24"/>
        </w:rPr>
        <w:t xml:space="preserve"> </w:t>
      </w:r>
      <w:r w:rsidR="006A11F8">
        <w:rPr>
          <w:sz w:val="24"/>
          <w:szCs w:val="24"/>
        </w:rPr>
        <w:t>- TRIBUNALE DI MONZA</w:t>
      </w:r>
      <w:r w:rsidR="00B27B9E">
        <w:rPr>
          <w:sz w:val="24"/>
          <w:szCs w:val="24"/>
        </w:rPr>
        <w:t xml:space="preserve">” </w:t>
      </w:r>
      <w:r w:rsidR="009F0211">
        <w:rPr>
          <w:sz w:val="24"/>
          <w:szCs w:val="24"/>
        </w:rPr>
        <w:t xml:space="preserve">di importo </w:t>
      </w:r>
      <w:r w:rsidR="009F0211" w:rsidRPr="00256606">
        <w:rPr>
          <w:b/>
          <w:bCs/>
          <w:sz w:val="24"/>
          <w:szCs w:val="24"/>
        </w:rPr>
        <w:t>non inferiore ad 1/6</w:t>
      </w:r>
      <w:r w:rsidR="009F0211">
        <w:rPr>
          <w:sz w:val="24"/>
          <w:szCs w:val="24"/>
        </w:rPr>
        <w:t xml:space="preserve"> della somma del credito per cui è stato eseguito il pignoramento stesso e dei crediti dei creditori che sono eventualmente intervenuti nel processo esecutivo.</w:t>
      </w:r>
    </w:p>
    <w:p w14:paraId="63FB45EF" w14:textId="6F0F16FA" w:rsidR="00D041C0" w:rsidRDefault="00DC5745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Per determinare l’importo su cui calcolare il</w:t>
      </w:r>
      <w:r w:rsidR="00E325FD">
        <w:rPr>
          <w:sz w:val="24"/>
          <w:szCs w:val="24"/>
        </w:rPr>
        <w:t xml:space="preserve"> sesto</w:t>
      </w:r>
      <w:r>
        <w:rPr>
          <w:sz w:val="24"/>
          <w:szCs w:val="24"/>
        </w:rPr>
        <w:t xml:space="preserve"> da versare, occorre prendere i dati risultanti dall’atto di precetto o comunque dall’ultimo atto del creditore che è stato depositato nel fascicolo del processo esecutivo.</w:t>
      </w:r>
      <w:r w:rsidR="00170565">
        <w:rPr>
          <w:sz w:val="24"/>
          <w:szCs w:val="24"/>
        </w:rPr>
        <w:t xml:space="preserve"> Il debitore può detrarre i versamenti eventualmente già eseguiti dopo l’inizio del processo esecutivo (o dopo la richiesta di pagamento che il creditore ha depositato nel predetto procedimento),</w:t>
      </w:r>
      <w:r w:rsidR="00E325FD">
        <w:rPr>
          <w:sz w:val="24"/>
          <w:szCs w:val="24"/>
        </w:rPr>
        <w:t xml:space="preserve"> </w:t>
      </w:r>
      <w:r w:rsidR="003226DE">
        <w:rPr>
          <w:sz w:val="24"/>
          <w:szCs w:val="24"/>
        </w:rPr>
        <w:t>purché</w:t>
      </w:r>
      <w:r w:rsidR="00F20EC9">
        <w:rPr>
          <w:sz w:val="24"/>
          <w:szCs w:val="24"/>
        </w:rPr>
        <w:t xml:space="preserve"> </w:t>
      </w:r>
      <w:r w:rsidR="00170565">
        <w:rPr>
          <w:sz w:val="24"/>
          <w:szCs w:val="24"/>
        </w:rPr>
        <w:t xml:space="preserve">possa provarli </w:t>
      </w:r>
      <w:proofErr w:type="spellStart"/>
      <w:r w:rsidR="00170565">
        <w:rPr>
          <w:sz w:val="24"/>
          <w:szCs w:val="24"/>
        </w:rPr>
        <w:t>documentalmente</w:t>
      </w:r>
      <w:proofErr w:type="spellEnd"/>
      <w:r w:rsidR="00170565">
        <w:rPr>
          <w:sz w:val="24"/>
          <w:szCs w:val="24"/>
        </w:rPr>
        <w:t xml:space="preserve"> e alleghi la relativa documentazione.</w:t>
      </w:r>
    </w:p>
    <w:p w14:paraId="50566A22" w14:textId="23106A40" w:rsidR="001C1CA3" w:rsidRDefault="001C1CA3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cancelleria non appena riceve l’assegno si </w:t>
      </w:r>
      <w:r w:rsidR="00E325FD">
        <w:rPr>
          <w:sz w:val="24"/>
          <w:szCs w:val="24"/>
        </w:rPr>
        <w:t>onera dell’apertura di</w:t>
      </w:r>
      <w:r>
        <w:rPr>
          <w:sz w:val="24"/>
          <w:szCs w:val="24"/>
        </w:rPr>
        <w:t xml:space="preserve"> un conto corrente bancario intestato al debitore</w:t>
      </w:r>
      <w:r w:rsidR="00F20EC9">
        <w:rPr>
          <w:sz w:val="24"/>
          <w:szCs w:val="24"/>
        </w:rPr>
        <w:t xml:space="preserve"> con riferimento </w:t>
      </w:r>
      <w:r w:rsidR="00CE3C2F">
        <w:rPr>
          <w:sz w:val="24"/>
          <w:szCs w:val="24"/>
        </w:rPr>
        <w:t>al numero di RGE</w:t>
      </w:r>
      <w:r w:rsidR="00F20EC9">
        <w:rPr>
          <w:sz w:val="24"/>
          <w:szCs w:val="24"/>
        </w:rPr>
        <w:t xml:space="preserve"> </w:t>
      </w:r>
      <w:r w:rsidR="00CE3C2F">
        <w:rPr>
          <w:sz w:val="24"/>
          <w:szCs w:val="24"/>
        </w:rPr>
        <w:t>della procedura esecutiva</w:t>
      </w:r>
      <w:r w:rsidR="004B04B6">
        <w:rPr>
          <w:sz w:val="24"/>
          <w:szCs w:val="24"/>
        </w:rPr>
        <w:t xml:space="preserve"> </w:t>
      </w:r>
      <w:r w:rsidR="00567201">
        <w:rPr>
          <w:sz w:val="24"/>
          <w:szCs w:val="24"/>
        </w:rPr>
        <w:t xml:space="preserve">sul quale verrà versato l’assegno </w:t>
      </w:r>
      <w:r w:rsidR="00AD53AB">
        <w:rPr>
          <w:sz w:val="24"/>
          <w:szCs w:val="24"/>
        </w:rPr>
        <w:t>depositato unitamente all’istanza e sul quale</w:t>
      </w:r>
      <w:r w:rsidR="00E325FD">
        <w:rPr>
          <w:sz w:val="24"/>
          <w:szCs w:val="24"/>
        </w:rPr>
        <w:t xml:space="preserve"> </w:t>
      </w:r>
      <w:r w:rsidR="00AD53AB">
        <w:rPr>
          <w:sz w:val="24"/>
          <w:szCs w:val="24"/>
        </w:rPr>
        <w:t>il debi</w:t>
      </w:r>
      <w:r w:rsidR="003226DE">
        <w:rPr>
          <w:sz w:val="24"/>
          <w:szCs w:val="24"/>
        </w:rPr>
        <w:t xml:space="preserve">tore dovrà versare gli importi </w:t>
      </w:r>
      <w:r w:rsidR="00AD53AB">
        <w:rPr>
          <w:sz w:val="24"/>
          <w:szCs w:val="24"/>
        </w:rPr>
        <w:t>delle rate di conversione del pignoramento</w:t>
      </w:r>
      <w:r w:rsidR="00140ADB">
        <w:rPr>
          <w:sz w:val="24"/>
          <w:szCs w:val="24"/>
        </w:rPr>
        <w:t xml:space="preserve"> così come determinati dal Giudice.</w:t>
      </w:r>
    </w:p>
    <w:p w14:paraId="0830D1CD" w14:textId="371A5086" w:rsidR="00AD53AB" w:rsidRDefault="00AD53AB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Gli estremi del conto corrente verranno riportati nel fascicolo telematico</w:t>
      </w:r>
      <w:r w:rsidR="000C1764">
        <w:rPr>
          <w:sz w:val="24"/>
          <w:szCs w:val="24"/>
        </w:rPr>
        <w:t xml:space="preserve"> a cura della cancelleria.</w:t>
      </w:r>
    </w:p>
    <w:p w14:paraId="57981B97" w14:textId="77777777" w:rsidR="00FA2C3D" w:rsidRDefault="00FA2C3D" w:rsidP="004D66B5">
      <w:pPr>
        <w:jc w:val="both"/>
        <w:rPr>
          <w:sz w:val="24"/>
          <w:szCs w:val="24"/>
        </w:rPr>
      </w:pPr>
    </w:p>
    <w:p w14:paraId="621FD292" w14:textId="29049BB4" w:rsidR="00FA2C3D" w:rsidRDefault="0047081D" w:rsidP="004D66B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COSA SUCCEDE DOPO IL DEPOSITO DELL’ISTANZA DI CONVERSIONE:</w:t>
      </w:r>
    </w:p>
    <w:p w14:paraId="30D61B6A" w14:textId="7B8FC7DB" w:rsidR="0047081D" w:rsidRDefault="0047081D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Una volta depositata correttamente l’istanza, il giudice fisserà entro 30 giorni un’udienza nel corso della quale </w:t>
      </w:r>
      <w:r w:rsidR="001C1CA3">
        <w:rPr>
          <w:sz w:val="24"/>
          <w:szCs w:val="24"/>
        </w:rPr>
        <w:t>sentirà le parti interessate e determinerà la somma da sostituire al bene oggetto di pignoramento programmando l</w:t>
      </w:r>
      <w:r w:rsidR="00832B39">
        <w:rPr>
          <w:sz w:val="24"/>
          <w:szCs w:val="24"/>
        </w:rPr>
        <w:t>’eventuale</w:t>
      </w:r>
      <w:r w:rsidR="001C1CA3">
        <w:rPr>
          <w:sz w:val="24"/>
          <w:szCs w:val="24"/>
        </w:rPr>
        <w:t xml:space="preserve"> rate</w:t>
      </w:r>
      <w:r w:rsidR="00832B39">
        <w:rPr>
          <w:sz w:val="24"/>
          <w:szCs w:val="24"/>
        </w:rPr>
        <w:t>izzazione</w:t>
      </w:r>
      <w:r w:rsidR="00D65208">
        <w:rPr>
          <w:sz w:val="24"/>
          <w:szCs w:val="24"/>
        </w:rPr>
        <w:t xml:space="preserve"> del debito.</w:t>
      </w:r>
    </w:p>
    <w:p w14:paraId="6AB33E21" w14:textId="1E86E1D8" w:rsidR="00832B39" w:rsidRDefault="00832B39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Il Giudice può consentire che il debitore versi la somma complessiva (totale dei debiti meno 1/6 già versato</w:t>
      </w:r>
      <w:r w:rsidR="00314E24">
        <w:rPr>
          <w:sz w:val="24"/>
          <w:szCs w:val="24"/>
        </w:rPr>
        <w:t>)</w:t>
      </w:r>
      <w:r>
        <w:rPr>
          <w:sz w:val="24"/>
          <w:szCs w:val="24"/>
        </w:rPr>
        <w:t xml:space="preserve"> in rate mensili, entro il termine massimo di </w:t>
      </w:r>
      <w:r w:rsidRPr="00832B39">
        <w:rPr>
          <w:b/>
          <w:bCs/>
          <w:sz w:val="24"/>
          <w:szCs w:val="24"/>
        </w:rPr>
        <w:t>48 mesi</w:t>
      </w:r>
      <w:r>
        <w:rPr>
          <w:sz w:val="24"/>
          <w:szCs w:val="24"/>
        </w:rPr>
        <w:t>.</w:t>
      </w:r>
    </w:p>
    <w:p w14:paraId="3D46C49A" w14:textId="1157F339" w:rsidR="00832B39" w:rsidRDefault="00832B39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Se il Giudice concede la rateizzazione, il debitore potrà effettuare i versamenti mensili nel termi</w:t>
      </w:r>
      <w:r w:rsidR="00D156DE">
        <w:rPr>
          <w:sz w:val="24"/>
          <w:szCs w:val="24"/>
        </w:rPr>
        <w:t xml:space="preserve">ne fissato dal Giudice, mediante bonifico sul conto corrente su cui è stato versato il </w:t>
      </w:r>
      <w:r w:rsidR="00314E24">
        <w:rPr>
          <w:sz w:val="24"/>
          <w:szCs w:val="24"/>
        </w:rPr>
        <w:t>sesto.</w:t>
      </w:r>
    </w:p>
    <w:p w14:paraId="7266E1EF" w14:textId="77777777" w:rsidR="000B16F5" w:rsidRDefault="00D156D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Ogni 6 mesi verrà fissata un’udienza per verificare se il debitore versa regolarmente le rate</w:t>
      </w:r>
      <w:r w:rsidR="000B16F5">
        <w:rPr>
          <w:sz w:val="24"/>
          <w:szCs w:val="24"/>
        </w:rPr>
        <w:t>.</w:t>
      </w:r>
    </w:p>
    <w:p w14:paraId="6B836C7F" w14:textId="6BC8338D" w:rsidR="00D65208" w:rsidRDefault="00D65208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Nell’ipotesi</w:t>
      </w:r>
      <w:r w:rsidR="00D30823">
        <w:rPr>
          <w:sz w:val="24"/>
          <w:szCs w:val="24"/>
        </w:rPr>
        <w:t xml:space="preserve"> cui il debitore ometta </w:t>
      </w:r>
      <w:r w:rsidR="006A5F09">
        <w:rPr>
          <w:sz w:val="24"/>
          <w:szCs w:val="24"/>
        </w:rPr>
        <w:t xml:space="preserve">o ritardi di oltre 30 giorni il versamento anche di una sola delle rate previste, </w:t>
      </w:r>
      <w:r w:rsidR="006E267C">
        <w:rPr>
          <w:sz w:val="24"/>
          <w:szCs w:val="24"/>
        </w:rPr>
        <w:t>il</w:t>
      </w:r>
      <w:r w:rsidR="006A5F09">
        <w:rPr>
          <w:sz w:val="24"/>
          <w:szCs w:val="24"/>
        </w:rPr>
        <w:t xml:space="preserve"> Giudice su richiesta del creditore/i disporrà senza indugio la vendita d</w:t>
      </w:r>
      <w:r w:rsidR="006E267C">
        <w:rPr>
          <w:sz w:val="24"/>
          <w:szCs w:val="24"/>
        </w:rPr>
        <w:t>ei beni pignorati e le somme versate ve</w:t>
      </w:r>
      <w:r w:rsidR="006F57A5">
        <w:rPr>
          <w:sz w:val="24"/>
          <w:szCs w:val="24"/>
        </w:rPr>
        <w:t>r</w:t>
      </w:r>
      <w:r w:rsidR="006E267C">
        <w:rPr>
          <w:sz w:val="24"/>
          <w:szCs w:val="24"/>
        </w:rPr>
        <w:t xml:space="preserve">ranno incamerate </w:t>
      </w:r>
      <w:r w:rsidR="006F57A5">
        <w:rPr>
          <w:sz w:val="24"/>
          <w:szCs w:val="24"/>
        </w:rPr>
        <w:t>nella procedura esecutiva</w:t>
      </w:r>
      <w:r w:rsidR="006E267C">
        <w:rPr>
          <w:sz w:val="24"/>
          <w:szCs w:val="24"/>
        </w:rPr>
        <w:t>.</w:t>
      </w:r>
    </w:p>
    <w:p w14:paraId="2B78893C" w14:textId="047E4F33" w:rsidR="006A5F09" w:rsidRDefault="006A5F09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L’istanza di conversione può essere avanzata una sola volta a pena di inammissibilità.</w:t>
      </w:r>
    </w:p>
    <w:p w14:paraId="1F2D4368" w14:textId="267FB7F0" w:rsidR="00F962C7" w:rsidRDefault="00F962C7" w:rsidP="004D66B5">
      <w:pPr>
        <w:jc w:val="both"/>
        <w:rPr>
          <w:sz w:val="24"/>
          <w:szCs w:val="24"/>
        </w:rPr>
      </w:pPr>
    </w:p>
    <w:p w14:paraId="4382D025" w14:textId="77777777" w:rsidR="00F962C7" w:rsidRDefault="00F962C7" w:rsidP="00F962C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NORMA DI RIFERIMENTO:</w:t>
      </w:r>
    </w:p>
    <w:p w14:paraId="0C77ECF8" w14:textId="77777777" w:rsidR="00F962C7" w:rsidRDefault="00F962C7" w:rsidP="00F962C7">
      <w:pPr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 w:rsidRPr="00F64DF7">
        <w:rPr>
          <w:sz w:val="24"/>
          <w:szCs w:val="24"/>
        </w:rPr>
        <w:t>. 495 CPC</w:t>
      </w:r>
    </w:p>
    <w:p w14:paraId="0CC02CC9" w14:textId="77777777" w:rsidR="00F962C7" w:rsidRDefault="00F962C7" w:rsidP="004D66B5">
      <w:pPr>
        <w:jc w:val="both"/>
        <w:rPr>
          <w:sz w:val="24"/>
          <w:szCs w:val="24"/>
        </w:rPr>
      </w:pPr>
    </w:p>
    <w:p w14:paraId="168612E5" w14:textId="308F8F6B" w:rsidR="00D65208" w:rsidRDefault="00D65208" w:rsidP="004D66B5">
      <w:pPr>
        <w:jc w:val="both"/>
        <w:rPr>
          <w:sz w:val="24"/>
          <w:szCs w:val="24"/>
        </w:rPr>
      </w:pPr>
    </w:p>
    <w:p w14:paraId="0E7DC681" w14:textId="330FAF7C" w:rsidR="00D65208" w:rsidRDefault="00D65208" w:rsidP="004D66B5">
      <w:pPr>
        <w:jc w:val="both"/>
        <w:rPr>
          <w:b/>
          <w:bCs/>
          <w:sz w:val="24"/>
          <w:szCs w:val="24"/>
          <w:u w:val="single"/>
        </w:rPr>
      </w:pPr>
      <w:r w:rsidRPr="00D65208">
        <w:rPr>
          <w:b/>
          <w:bCs/>
          <w:sz w:val="24"/>
          <w:szCs w:val="24"/>
          <w:u w:val="single"/>
        </w:rPr>
        <w:t>COSTI:</w:t>
      </w:r>
    </w:p>
    <w:p w14:paraId="7BCBF6F1" w14:textId="0B0356E1" w:rsidR="00D65208" w:rsidRDefault="003226D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</w:t>
      </w:r>
      <w:r w:rsidR="003474C8">
        <w:rPr>
          <w:sz w:val="24"/>
          <w:szCs w:val="24"/>
        </w:rPr>
        <w:t>esente se è già stata depositata l’istanza di vendita unitamente al contributo unificato.</w:t>
      </w:r>
    </w:p>
    <w:p w14:paraId="4D803A87" w14:textId="605D2A79" w:rsidR="003474C8" w:rsidRPr="00D65208" w:rsidRDefault="003474C8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Occorrerà invece versare</w:t>
      </w:r>
      <w:r w:rsidR="00653F3B">
        <w:rPr>
          <w:sz w:val="24"/>
          <w:szCs w:val="24"/>
        </w:rPr>
        <w:t xml:space="preserve"> telematicam</w:t>
      </w:r>
      <w:r w:rsidR="00314E24">
        <w:rPr>
          <w:sz w:val="24"/>
          <w:szCs w:val="24"/>
        </w:rPr>
        <w:t>e</w:t>
      </w:r>
      <w:r w:rsidR="00653F3B">
        <w:rPr>
          <w:sz w:val="24"/>
          <w:szCs w:val="24"/>
        </w:rPr>
        <w:t>nte la somma di</w:t>
      </w:r>
      <w:r>
        <w:rPr>
          <w:sz w:val="24"/>
          <w:szCs w:val="24"/>
        </w:rPr>
        <w:t xml:space="preserve"> € 16,00 se l’istanza di vendita non </w:t>
      </w:r>
      <w:r w:rsidR="00314E24">
        <w:rPr>
          <w:sz w:val="24"/>
          <w:szCs w:val="24"/>
        </w:rPr>
        <w:t xml:space="preserve">è </w:t>
      </w:r>
      <w:r>
        <w:rPr>
          <w:sz w:val="24"/>
          <w:szCs w:val="24"/>
        </w:rPr>
        <w:t>stata ancora depositata.</w:t>
      </w:r>
    </w:p>
    <w:p w14:paraId="30086A0B" w14:textId="0E2397EA" w:rsidR="00D156DE" w:rsidRDefault="00D156D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Allegato:</w:t>
      </w:r>
    </w:p>
    <w:p w14:paraId="068796CC" w14:textId="58388E59" w:rsidR="00D156DE" w:rsidRPr="00D156DE" w:rsidRDefault="00D156DE" w:rsidP="004D66B5">
      <w:pPr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istanza</w:t>
      </w:r>
      <w:proofErr w:type="gramEnd"/>
      <w:r>
        <w:rPr>
          <w:sz w:val="24"/>
          <w:szCs w:val="24"/>
        </w:rPr>
        <w:t xml:space="preserve"> di conversione </w:t>
      </w:r>
      <w:r w:rsidR="00314E24">
        <w:rPr>
          <w:sz w:val="24"/>
          <w:szCs w:val="24"/>
        </w:rPr>
        <w:t>…</w:t>
      </w:r>
      <w:r>
        <w:rPr>
          <w:b/>
          <w:bCs/>
          <w:sz w:val="24"/>
          <w:szCs w:val="24"/>
        </w:rPr>
        <w:t>LINK</w:t>
      </w:r>
    </w:p>
    <w:p w14:paraId="7121BC67" w14:textId="3645A72A" w:rsidR="001C1CA3" w:rsidRDefault="001C1CA3" w:rsidP="004D66B5">
      <w:pPr>
        <w:jc w:val="both"/>
        <w:rPr>
          <w:sz w:val="24"/>
          <w:szCs w:val="24"/>
        </w:rPr>
      </w:pPr>
    </w:p>
    <w:p w14:paraId="292AD7E4" w14:textId="77777777" w:rsidR="001C1CA3" w:rsidRPr="001C1CA3" w:rsidRDefault="001C1CA3" w:rsidP="004D66B5">
      <w:pPr>
        <w:jc w:val="both"/>
        <w:rPr>
          <w:b/>
          <w:bCs/>
          <w:sz w:val="24"/>
          <w:szCs w:val="24"/>
          <w:u w:val="single"/>
        </w:rPr>
      </w:pPr>
    </w:p>
    <w:sectPr w:rsidR="001C1CA3" w:rsidRPr="001C1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D"/>
    <w:rsid w:val="0003289D"/>
    <w:rsid w:val="000B16F5"/>
    <w:rsid w:val="000C1764"/>
    <w:rsid w:val="00140ADB"/>
    <w:rsid w:val="00170565"/>
    <w:rsid w:val="001C1CA3"/>
    <w:rsid w:val="00256606"/>
    <w:rsid w:val="00314E24"/>
    <w:rsid w:val="003226DE"/>
    <w:rsid w:val="003474C8"/>
    <w:rsid w:val="003854AD"/>
    <w:rsid w:val="0047081D"/>
    <w:rsid w:val="004B04B6"/>
    <w:rsid w:val="004D66B5"/>
    <w:rsid w:val="00567201"/>
    <w:rsid w:val="00653F3B"/>
    <w:rsid w:val="006A11F8"/>
    <w:rsid w:val="006A5F09"/>
    <w:rsid w:val="006E267C"/>
    <w:rsid w:val="006E62F8"/>
    <w:rsid w:val="006F57A5"/>
    <w:rsid w:val="00832B39"/>
    <w:rsid w:val="0090258A"/>
    <w:rsid w:val="009F0211"/>
    <w:rsid w:val="00AD53AB"/>
    <w:rsid w:val="00B27B9E"/>
    <w:rsid w:val="00B32761"/>
    <w:rsid w:val="00BB1338"/>
    <w:rsid w:val="00CE3C2F"/>
    <w:rsid w:val="00D03B4E"/>
    <w:rsid w:val="00D041C0"/>
    <w:rsid w:val="00D14DDB"/>
    <w:rsid w:val="00D156DE"/>
    <w:rsid w:val="00D30823"/>
    <w:rsid w:val="00D65208"/>
    <w:rsid w:val="00DC5745"/>
    <w:rsid w:val="00DD7880"/>
    <w:rsid w:val="00E2079E"/>
    <w:rsid w:val="00E325FD"/>
    <w:rsid w:val="00E91CC3"/>
    <w:rsid w:val="00F20EC9"/>
    <w:rsid w:val="00F64DF7"/>
    <w:rsid w:val="00F95979"/>
    <w:rsid w:val="00F962C7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FD15"/>
  <w15:chartTrackingRefBased/>
  <w15:docId w15:val="{D93FE214-F51B-4230-8F42-05167B4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Cicchetti</dc:creator>
  <cp:keywords/>
  <dc:description/>
  <cp:lastModifiedBy>Alessandra Pisanello</cp:lastModifiedBy>
  <cp:revision>3</cp:revision>
  <dcterms:created xsi:type="dcterms:W3CDTF">2023-02-28T11:06:00Z</dcterms:created>
  <dcterms:modified xsi:type="dcterms:W3CDTF">2023-03-02T15:59:00Z</dcterms:modified>
</cp:coreProperties>
</file>